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AF9F6D">
      <w:pPr>
        <w:spacing w:line="360" w:lineRule="auto"/>
        <w:jc w:val="center"/>
        <w:rPr>
          <w:rFonts w:asciiTheme="minorEastAsia" w:hAnsiTheme="minorEastAsia" w:eastAsiaTheme="minorEastAsia"/>
          <w:sz w:val="24"/>
        </w:rPr>
      </w:pPr>
      <w:bookmarkStart w:id="1" w:name="_GoBack"/>
      <w:bookmarkEnd w:id="1"/>
      <w:r>
        <w:rPr>
          <w:rFonts w:hint="eastAsia" w:cs="宋体" w:asciiTheme="minorEastAsia" w:hAnsiTheme="minorEastAsia" w:eastAsiaTheme="minorEastAsia"/>
          <w:bCs/>
          <w:sz w:val="24"/>
        </w:rPr>
        <w:t>辐通量计</w:t>
      </w:r>
    </w:p>
    <w:p w14:paraId="73279B7D">
      <w:pPr>
        <w:tabs>
          <w:tab w:val="left" w:pos="312"/>
        </w:tabs>
        <w:spacing w:line="360" w:lineRule="auto"/>
        <w:rPr>
          <w:rFonts w:asciiTheme="minorEastAsia" w:hAnsiTheme="minorEastAsia" w:eastAsiaTheme="minorEastAsia"/>
          <w:sz w:val="24"/>
        </w:rPr>
      </w:pPr>
      <w:r>
        <w:rPr>
          <w:rFonts w:hint="eastAsia" w:asciiTheme="minorEastAsia" w:hAnsiTheme="minorEastAsia" w:eastAsiaTheme="minorEastAsia"/>
          <w:sz w:val="24"/>
        </w:rPr>
        <w:t>一、技术参数:</w:t>
      </w:r>
    </w:p>
    <w:p w14:paraId="348A6D6A">
      <w:pPr>
        <w:spacing w:line="360" w:lineRule="auto"/>
        <w:rPr>
          <w:rFonts w:asciiTheme="minorEastAsia" w:hAnsiTheme="minorEastAsia" w:eastAsiaTheme="minorEastAsia"/>
          <w:sz w:val="24"/>
        </w:rPr>
      </w:pPr>
      <w:r>
        <w:rPr>
          <w:rFonts w:hint="eastAsia" w:cs="微软雅黑" w:asciiTheme="minorEastAsia" w:hAnsiTheme="minorEastAsia" w:eastAsiaTheme="minorEastAsia"/>
          <w:sz w:val="24"/>
        </w:rPr>
        <w:t>1、</w:t>
      </w:r>
      <w:r>
        <w:rPr>
          <w:rFonts w:hint="eastAsia" w:asciiTheme="minorEastAsia" w:hAnsiTheme="minorEastAsia" w:eastAsiaTheme="minorEastAsia"/>
          <w:sz w:val="24"/>
        </w:rPr>
        <w:t>内径范围：250mm～400mm，内壁涂白色漫反射层。</w:t>
      </w:r>
    </w:p>
    <w:p w14:paraId="044E8443">
      <w:pPr>
        <w:spacing w:line="360" w:lineRule="auto"/>
        <w:rPr>
          <w:rFonts w:asciiTheme="minorEastAsia" w:hAnsiTheme="minorEastAsia" w:eastAsiaTheme="minorEastAsia"/>
          <w:sz w:val="24"/>
        </w:rPr>
      </w:pPr>
      <w:r>
        <w:rPr>
          <w:rFonts w:hint="eastAsia" w:asciiTheme="minorEastAsia" w:hAnsiTheme="minorEastAsia" w:eastAsiaTheme="minorEastAsia"/>
          <w:sz w:val="24"/>
        </w:rPr>
        <w:t>2、工作波段反射比：≥95%，且球内壁各点漫射均匀（提供省级以上计量机构出具的校准报告或测试报告）。</w:t>
      </w:r>
    </w:p>
    <w:p w14:paraId="5466CBE1">
      <w:pPr>
        <w:spacing w:line="360" w:lineRule="auto"/>
        <w:rPr>
          <w:rFonts w:asciiTheme="minorEastAsia" w:hAnsiTheme="minorEastAsia" w:eastAsiaTheme="minorEastAsia"/>
          <w:sz w:val="24"/>
        </w:rPr>
      </w:pPr>
      <w:r>
        <w:rPr>
          <w:rFonts w:hint="eastAsia" w:asciiTheme="minorEastAsia" w:hAnsiTheme="minorEastAsia" w:eastAsiaTheme="minorEastAsia"/>
          <w:sz w:val="24"/>
        </w:rPr>
        <w:t>3、球壁上具备窗孔和测试端口。</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4、标准光源：</w:t>
      </w:r>
    </w:p>
    <w:p w14:paraId="394880E4">
      <w:pPr>
        <w:spacing w:line="360" w:lineRule="auto"/>
        <w:rPr>
          <w:rFonts w:asciiTheme="minorEastAsia" w:hAnsiTheme="minorEastAsia" w:eastAsiaTheme="minorEastAsia"/>
          <w:sz w:val="24"/>
        </w:rPr>
      </w:pPr>
      <w:r>
        <w:rPr>
          <w:rFonts w:hint="eastAsia" w:asciiTheme="minorEastAsia" w:hAnsiTheme="minorEastAsia" w:eastAsiaTheme="minorEastAsia"/>
          <w:sz w:val="24"/>
        </w:rPr>
        <w:t>4.1、光源功率：≥10W。</w:t>
      </w:r>
    </w:p>
    <w:p w14:paraId="40C21CB7">
      <w:pPr>
        <w:spacing w:line="360" w:lineRule="auto"/>
        <w:rPr>
          <w:rFonts w:asciiTheme="minorEastAsia" w:hAnsiTheme="minorEastAsia" w:eastAsiaTheme="minorEastAsia"/>
          <w:sz w:val="24"/>
        </w:rPr>
      </w:pPr>
      <w:r>
        <w:rPr>
          <w:rFonts w:hint="eastAsia" w:asciiTheme="minorEastAsia" w:hAnsiTheme="minorEastAsia" w:eastAsiaTheme="minorEastAsia"/>
          <w:sz w:val="24"/>
        </w:rPr>
        <w:t>4.2、搭配积分球一起使用，符合光通量标准灯要求。</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5、光谱辐射分析仪：</w:t>
      </w:r>
    </w:p>
    <w:p w14:paraId="587B27AF">
      <w:pPr>
        <w:spacing w:line="360" w:lineRule="auto"/>
        <w:rPr>
          <w:rFonts w:asciiTheme="minorEastAsia" w:hAnsiTheme="minorEastAsia" w:eastAsiaTheme="minorEastAsia"/>
          <w:sz w:val="24"/>
        </w:rPr>
      </w:pPr>
      <w:r>
        <w:rPr>
          <w:rFonts w:hint="eastAsia" w:asciiTheme="minorEastAsia" w:hAnsiTheme="minorEastAsia" w:eastAsiaTheme="minorEastAsia"/>
          <w:sz w:val="24"/>
        </w:rPr>
        <w:t>5.1、光学结构：对称Czerny-Turner结构。</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5.2、波长范围：200～1100 nm。</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5.3、光谱分辨率: ≤0.5nm。</w:t>
      </w:r>
    </w:p>
    <w:p w14:paraId="313E5D4B">
      <w:pPr>
        <w:spacing w:line="360" w:lineRule="auto"/>
        <w:rPr>
          <w:rFonts w:asciiTheme="minorEastAsia" w:hAnsiTheme="minorEastAsia" w:eastAsiaTheme="minorEastAsia"/>
          <w:sz w:val="24"/>
        </w:rPr>
      </w:pPr>
      <w:r>
        <w:rPr>
          <w:rFonts w:hint="eastAsia" w:asciiTheme="minorEastAsia" w:hAnsiTheme="minorEastAsia" w:eastAsiaTheme="minorEastAsia"/>
          <w:sz w:val="24"/>
        </w:rPr>
        <w:t>5.4、波长准确度：≤0.3nm（提供省级以上计量机构出具的校准报告或测试报告）。</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5.5、杂散光：≤1.0%。</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5.6、灵敏度：≥370,000 counts/μW。</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5.7、探测器：CMOS。</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5.8、信噪比:≥ 300:1。</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6、脉冲探测器系统：</w:t>
      </w:r>
      <w:r>
        <w:rPr>
          <w:rFonts w:asciiTheme="minorEastAsia" w:hAnsiTheme="minorEastAsia" w:eastAsiaTheme="minorEastAsia"/>
          <w:sz w:val="24"/>
        </w:rPr>
        <w:br w:type="textWrapping"/>
      </w:r>
      <w:r>
        <w:rPr>
          <w:rFonts w:asciiTheme="minorEastAsia" w:hAnsiTheme="minorEastAsia" w:eastAsiaTheme="minorEastAsia"/>
          <w:sz w:val="24"/>
        </w:rPr>
        <w:t>#</w:t>
      </w:r>
      <w:r>
        <w:rPr>
          <w:rFonts w:hint="eastAsia" w:asciiTheme="minorEastAsia" w:hAnsiTheme="minorEastAsia" w:eastAsiaTheme="minorEastAsia"/>
          <w:sz w:val="24"/>
        </w:rPr>
        <w:t>6</w:t>
      </w:r>
      <w:r>
        <w:rPr>
          <w:rFonts w:asciiTheme="minorEastAsia" w:hAnsiTheme="minorEastAsia" w:eastAsiaTheme="minorEastAsia"/>
          <w:sz w:val="24"/>
        </w:rPr>
        <w:t>.1</w:t>
      </w:r>
      <w:r>
        <w:rPr>
          <w:rFonts w:hint="eastAsia" w:asciiTheme="minorEastAsia" w:hAnsiTheme="minorEastAsia" w:eastAsiaTheme="minorEastAsia"/>
          <w:sz w:val="24"/>
        </w:rPr>
        <w:t>、脉冲测试波长范围：</w:t>
      </w:r>
      <w:r>
        <w:rPr>
          <w:rFonts w:asciiTheme="minorEastAsia" w:hAnsiTheme="minorEastAsia" w:eastAsiaTheme="minorEastAsia"/>
          <w:sz w:val="24"/>
        </w:rPr>
        <w:t>320</w:t>
      </w:r>
      <w:r>
        <w:rPr>
          <w:rFonts w:hint="eastAsia" w:asciiTheme="minorEastAsia" w:hAnsiTheme="minorEastAsia" w:eastAsiaTheme="minorEastAsia"/>
          <w:sz w:val="24"/>
        </w:rPr>
        <w:t>～</w:t>
      </w:r>
      <w:r>
        <w:rPr>
          <w:rFonts w:asciiTheme="minorEastAsia" w:hAnsiTheme="minorEastAsia" w:eastAsiaTheme="minorEastAsia"/>
          <w:sz w:val="24"/>
        </w:rPr>
        <w:t>1700nm</w:t>
      </w:r>
      <w:r>
        <w:rPr>
          <w:rFonts w:hint="eastAsia" w:asciiTheme="minorEastAsia" w:hAnsiTheme="minorEastAsia" w:eastAsiaTheme="minorEastAsia"/>
          <w:sz w:val="24"/>
        </w:rPr>
        <w:t>（提供省级以上计量机构出具的校准报告或测试报告）。</w:t>
      </w:r>
      <w:r>
        <w:rPr>
          <w:rFonts w:asciiTheme="minorEastAsia" w:hAnsiTheme="minorEastAsia" w:eastAsiaTheme="minorEastAsia"/>
          <w:sz w:val="24"/>
        </w:rPr>
        <w:br w:type="textWrapping"/>
      </w:r>
      <w:r>
        <w:rPr>
          <w:rFonts w:hint="eastAsia" w:asciiTheme="minorEastAsia" w:hAnsiTheme="minorEastAsia" w:eastAsiaTheme="minorEastAsia"/>
          <w:sz w:val="24"/>
        </w:rPr>
        <w:t>6</w:t>
      </w:r>
      <w:r>
        <w:rPr>
          <w:rFonts w:asciiTheme="minorEastAsia" w:hAnsiTheme="minorEastAsia" w:eastAsiaTheme="minorEastAsia"/>
          <w:sz w:val="24"/>
        </w:rPr>
        <w:t>.2</w:t>
      </w:r>
      <w:r>
        <w:rPr>
          <w:rFonts w:hint="eastAsia" w:asciiTheme="minorEastAsia" w:hAnsiTheme="minorEastAsia" w:eastAsiaTheme="minorEastAsia"/>
          <w:sz w:val="24"/>
        </w:rPr>
        <w:t>、脉冲上升沿</w:t>
      </w:r>
      <w:r>
        <w:rPr>
          <w:rFonts w:asciiTheme="minorEastAsia" w:hAnsiTheme="minorEastAsia" w:eastAsiaTheme="minorEastAsia"/>
          <w:sz w:val="24"/>
        </w:rPr>
        <w:t>/下降沿：</w:t>
      </w:r>
      <w:r>
        <w:rPr>
          <w:rFonts w:hint="eastAsia" w:asciiTheme="minorEastAsia" w:hAnsiTheme="minorEastAsia" w:eastAsiaTheme="minorEastAsia"/>
          <w:sz w:val="24"/>
        </w:rPr>
        <w:t>≤</w:t>
      </w:r>
      <w:r>
        <w:rPr>
          <w:rFonts w:asciiTheme="minorEastAsia" w:hAnsiTheme="minorEastAsia" w:eastAsiaTheme="minorEastAsia"/>
          <w:sz w:val="24"/>
        </w:rPr>
        <w:t>0.3ns。</w:t>
      </w:r>
      <w:r>
        <w:rPr>
          <w:rFonts w:asciiTheme="minorEastAsia" w:hAnsiTheme="minorEastAsia" w:eastAsiaTheme="minorEastAsia"/>
          <w:sz w:val="24"/>
        </w:rPr>
        <w:br w:type="textWrapping"/>
      </w:r>
      <w:r>
        <w:rPr>
          <w:rFonts w:hint="eastAsia" w:asciiTheme="minorEastAsia" w:hAnsiTheme="minorEastAsia" w:eastAsiaTheme="minorEastAsia"/>
          <w:sz w:val="24"/>
        </w:rPr>
        <w:t>6</w:t>
      </w:r>
      <w:r>
        <w:rPr>
          <w:rFonts w:asciiTheme="minorEastAsia" w:hAnsiTheme="minorEastAsia" w:eastAsiaTheme="minorEastAsia"/>
          <w:sz w:val="24"/>
        </w:rPr>
        <w:t>.3</w:t>
      </w:r>
      <w:r>
        <w:rPr>
          <w:rFonts w:hint="eastAsia" w:asciiTheme="minorEastAsia" w:hAnsiTheme="minorEastAsia" w:eastAsiaTheme="minorEastAsia"/>
          <w:sz w:val="24"/>
        </w:rPr>
        <w:t>、脉冲带宽：≥</w:t>
      </w:r>
      <w:r>
        <w:rPr>
          <w:rFonts w:asciiTheme="minorEastAsia" w:hAnsiTheme="minorEastAsia" w:eastAsiaTheme="minorEastAsia"/>
          <w:sz w:val="24"/>
        </w:rPr>
        <w:t>1.2 GHz。</w:t>
      </w:r>
      <w:r>
        <w:rPr>
          <w:rFonts w:asciiTheme="minorEastAsia" w:hAnsiTheme="minorEastAsia" w:eastAsiaTheme="minorEastAsia"/>
          <w:sz w:val="24"/>
        </w:rPr>
        <w:br w:type="textWrapping"/>
      </w:r>
      <w:r>
        <w:rPr>
          <w:rFonts w:hint="eastAsia" w:asciiTheme="minorEastAsia" w:hAnsiTheme="minorEastAsia" w:eastAsiaTheme="minorEastAsia"/>
          <w:sz w:val="24"/>
        </w:rPr>
        <w:t>6</w:t>
      </w:r>
      <w:r>
        <w:rPr>
          <w:rFonts w:asciiTheme="minorEastAsia" w:hAnsiTheme="minorEastAsia" w:eastAsiaTheme="minorEastAsia"/>
          <w:sz w:val="24"/>
        </w:rPr>
        <w:t>.4</w:t>
      </w:r>
      <w:r>
        <w:rPr>
          <w:rFonts w:hint="eastAsia" w:asciiTheme="minorEastAsia" w:hAnsiTheme="minorEastAsia" w:eastAsiaTheme="minorEastAsia"/>
          <w:sz w:val="24"/>
        </w:rPr>
        <w:t>、脉冲最大输入平均功率：≥</w:t>
      </w:r>
      <w:r>
        <w:rPr>
          <w:rFonts w:asciiTheme="minorEastAsia" w:hAnsiTheme="minorEastAsia" w:eastAsiaTheme="minorEastAsia"/>
          <w:sz w:val="24"/>
        </w:rPr>
        <w:t>25 mW</w:t>
      </w:r>
      <w:r>
        <w:rPr>
          <w:rFonts w:hint="eastAsia" w:asciiTheme="minorEastAsia" w:hAnsiTheme="minorEastAsia" w:eastAsiaTheme="minorEastAsia"/>
          <w:sz w:val="24"/>
        </w:rPr>
        <w:t>。</w:t>
      </w:r>
      <w:r>
        <w:rPr>
          <w:rFonts w:asciiTheme="minorEastAsia" w:hAnsiTheme="minorEastAsia" w:eastAsiaTheme="minorEastAsia"/>
          <w:sz w:val="24"/>
        </w:rPr>
        <w:br w:type="textWrapping"/>
      </w:r>
      <w:r>
        <w:rPr>
          <w:rFonts w:hint="eastAsia" w:asciiTheme="minorEastAsia" w:hAnsiTheme="minorEastAsia" w:eastAsiaTheme="minorEastAsia"/>
          <w:sz w:val="24"/>
        </w:rPr>
        <w:t>6</w:t>
      </w:r>
      <w:r>
        <w:rPr>
          <w:rFonts w:asciiTheme="minorEastAsia" w:hAnsiTheme="minorEastAsia" w:eastAsiaTheme="minorEastAsia"/>
          <w:sz w:val="24"/>
        </w:rPr>
        <w:t>.5</w:t>
      </w:r>
      <w:r>
        <w:rPr>
          <w:rFonts w:hint="eastAsia" w:asciiTheme="minorEastAsia" w:hAnsiTheme="minorEastAsia" w:eastAsiaTheme="minorEastAsia"/>
          <w:sz w:val="24"/>
        </w:rPr>
        <w:t>、脉冲最短脉宽：≤</w:t>
      </w:r>
      <w:r>
        <w:rPr>
          <w:rFonts w:asciiTheme="minorEastAsia" w:hAnsiTheme="minorEastAsia" w:eastAsiaTheme="minorEastAsia"/>
          <w:sz w:val="24"/>
        </w:rPr>
        <w:t>3ns。</w:t>
      </w:r>
    </w:p>
    <w:p w14:paraId="65C7535E">
      <w:pPr>
        <w:spacing w:line="360" w:lineRule="auto"/>
        <w:rPr>
          <w:rFonts w:asciiTheme="minorEastAsia" w:hAnsiTheme="minorEastAsia" w:eastAsiaTheme="minorEastAsia"/>
          <w:sz w:val="24"/>
        </w:rPr>
      </w:pPr>
      <w:r>
        <w:rPr>
          <w:rFonts w:hint="eastAsia" w:cs="微软雅黑" w:asciiTheme="minorEastAsia" w:hAnsiTheme="minorEastAsia" w:eastAsiaTheme="minorEastAsia"/>
          <w:sz w:val="24"/>
        </w:rPr>
        <w:t>7、工作条件：</w:t>
      </w:r>
    </w:p>
    <w:p w14:paraId="6633ABC6">
      <w:pPr>
        <w:spacing w:line="360" w:lineRule="auto"/>
        <w:rPr>
          <w:rFonts w:asciiTheme="minorEastAsia" w:hAnsiTheme="minorEastAsia" w:eastAsiaTheme="minorEastAsia"/>
          <w:sz w:val="24"/>
        </w:rPr>
      </w:pPr>
      <w:r>
        <w:rPr>
          <w:rFonts w:hint="eastAsia" w:asciiTheme="minorEastAsia" w:hAnsiTheme="minorEastAsia" w:eastAsiaTheme="minorEastAsia"/>
          <w:sz w:val="24"/>
        </w:rPr>
        <w:t>7.1、电源：AC 220V±10%，50±2Hz。</w:t>
      </w:r>
    </w:p>
    <w:p w14:paraId="3901371B">
      <w:pPr>
        <w:spacing w:line="360" w:lineRule="auto"/>
        <w:rPr>
          <w:rFonts w:asciiTheme="minorEastAsia" w:hAnsiTheme="minorEastAsia" w:eastAsiaTheme="minorEastAsia"/>
          <w:sz w:val="24"/>
        </w:rPr>
      </w:pPr>
      <w:r>
        <w:rPr>
          <w:rFonts w:hint="eastAsia" w:asciiTheme="minorEastAsia" w:hAnsiTheme="minorEastAsia" w:eastAsiaTheme="minorEastAsia"/>
          <w:sz w:val="24"/>
        </w:rPr>
        <w:t>7.2、环境温度范围：0～40℃。</w:t>
      </w:r>
    </w:p>
    <w:p w14:paraId="683AE1C3">
      <w:pPr>
        <w:spacing w:line="360" w:lineRule="auto"/>
        <w:rPr>
          <w:rFonts w:asciiTheme="minorEastAsia" w:hAnsiTheme="minorEastAsia" w:eastAsiaTheme="minorEastAsia"/>
          <w:sz w:val="24"/>
        </w:rPr>
      </w:pPr>
      <w:r>
        <w:rPr>
          <w:rFonts w:hint="eastAsia" w:asciiTheme="minorEastAsia" w:hAnsiTheme="minorEastAsia" w:eastAsiaTheme="minorEastAsia"/>
          <w:sz w:val="24"/>
        </w:rPr>
        <w:t>7.3、环境湿度范围：30%～95%。</w:t>
      </w:r>
    </w:p>
    <w:p w14:paraId="5CAB007A">
      <w:pPr>
        <w:spacing w:line="360" w:lineRule="auto"/>
        <w:rPr>
          <w:rFonts w:asciiTheme="minorEastAsia" w:hAnsiTheme="minorEastAsia" w:eastAsiaTheme="minorEastAsia"/>
          <w:sz w:val="24"/>
        </w:rPr>
      </w:pPr>
      <w:r>
        <w:rPr>
          <w:rFonts w:hint="eastAsia" w:asciiTheme="minorEastAsia" w:hAnsiTheme="minorEastAsia" w:eastAsiaTheme="minorEastAsia"/>
          <w:sz w:val="24"/>
        </w:rPr>
        <w:t>7.4、海拔高度：≤2000m。</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二、主要配置：</w:t>
      </w:r>
    </w:p>
    <w:p w14:paraId="666C196C">
      <w:pPr>
        <w:spacing w:line="360" w:lineRule="auto"/>
        <w:rPr>
          <w:rFonts w:asciiTheme="minorEastAsia" w:hAnsiTheme="minorEastAsia" w:eastAsiaTheme="minorEastAsia"/>
          <w:sz w:val="24"/>
        </w:rPr>
      </w:pPr>
      <w:bookmarkStart w:id="0" w:name="OLE_LINK1"/>
      <w:r>
        <w:rPr>
          <w:rFonts w:asciiTheme="minorEastAsia" w:hAnsiTheme="minorEastAsia" w:eastAsiaTheme="minorEastAsia"/>
          <w:sz w:val="24"/>
        </w:rPr>
        <w:t>1、光谱辐射通量</w:t>
      </w:r>
      <w:r>
        <w:rPr>
          <w:rFonts w:hint="eastAsia" w:asciiTheme="minorEastAsia" w:hAnsiTheme="minorEastAsia" w:eastAsiaTheme="minorEastAsia"/>
          <w:sz w:val="24"/>
        </w:rPr>
        <w:t>积分球：</w:t>
      </w:r>
      <w:r>
        <w:rPr>
          <w:rFonts w:asciiTheme="minorEastAsia" w:hAnsiTheme="minorEastAsia" w:eastAsiaTheme="minorEastAsia"/>
          <w:sz w:val="24"/>
        </w:rPr>
        <w:t>1套。</w:t>
      </w:r>
    </w:p>
    <w:p w14:paraId="57A5B89B">
      <w:pPr>
        <w:spacing w:line="360" w:lineRule="auto"/>
        <w:rPr>
          <w:rFonts w:asciiTheme="minorEastAsia" w:hAnsiTheme="minorEastAsia" w:eastAsiaTheme="minorEastAsia"/>
          <w:sz w:val="24"/>
        </w:rPr>
      </w:pPr>
      <w:r>
        <w:rPr>
          <w:rFonts w:hint="eastAsia" w:asciiTheme="minorEastAsia" w:hAnsiTheme="minorEastAsia" w:eastAsiaTheme="minorEastAsia"/>
          <w:sz w:val="24"/>
        </w:rPr>
        <w:t>2、标准光源及其供电系统：1套。</w:t>
      </w:r>
    </w:p>
    <w:p w14:paraId="61DA7C80">
      <w:pPr>
        <w:spacing w:line="360" w:lineRule="auto"/>
        <w:rPr>
          <w:rFonts w:asciiTheme="minorEastAsia" w:hAnsiTheme="minorEastAsia" w:eastAsiaTheme="minorEastAsia"/>
          <w:sz w:val="24"/>
        </w:rPr>
      </w:pPr>
      <w:r>
        <w:rPr>
          <w:rFonts w:hint="eastAsia" w:asciiTheme="minorEastAsia" w:hAnsiTheme="minorEastAsia" w:eastAsiaTheme="minorEastAsia"/>
          <w:sz w:val="24"/>
        </w:rPr>
        <w:t>3、光谱辐射分析仪：1台。</w:t>
      </w:r>
    </w:p>
    <w:p w14:paraId="5052964D">
      <w:pPr>
        <w:spacing w:line="360" w:lineRule="auto"/>
        <w:rPr>
          <w:rFonts w:asciiTheme="minorEastAsia" w:hAnsiTheme="minorEastAsia" w:eastAsiaTheme="minorEastAsia"/>
          <w:sz w:val="24"/>
        </w:rPr>
      </w:pPr>
      <w:r>
        <w:rPr>
          <w:rFonts w:asciiTheme="minorEastAsia" w:hAnsiTheme="minorEastAsia" w:eastAsiaTheme="minorEastAsia"/>
          <w:sz w:val="24"/>
        </w:rPr>
        <w:t>4、</w:t>
      </w:r>
      <w:r>
        <w:rPr>
          <w:rFonts w:hint="eastAsia" w:asciiTheme="minorEastAsia" w:hAnsiTheme="minorEastAsia" w:eastAsiaTheme="minorEastAsia"/>
          <w:sz w:val="24"/>
        </w:rPr>
        <w:t>脉冲探测器系统；</w:t>
      </w:r>
      <w:r>
        <w:rPr>
          <w:rFonts w:asciiTheme="minorEastAsia" w:hAnsiTheme="minorEastAsia" w:eastAsiaTheme="minorEastAsia"/>
          <w:sz w:val="24"/>
        </w:rPr>
        <w:t>2个</w:t>
      </w:r>
      <w:r>
        <w:rPr>
          <w:rFonts w:hint="eastAsia" w:asciiTheme="minorEastAsia" w:hAnsiTheme="minorEastAsia" w:eastAsiaTheme="minorEastAsia"/>
          <w:sz w:val="24"/>
        </w:rPr>
        <w:t>（</w:t>
      </w:r>
      <w:r>
        <w:rPr>
          <w:rFonts w:asciiTheme="minorEastAsia" w:hAnsiTheme="minorEastAsia" w:eastAsiaTheme="minorEastAsia"/>
          <w:sz w:val="24"/>
        </w:rPr>
        <w:t>可见1个，红外1个）</w:t>
      </w:r>
      <w:r>
        <w:rPr>
          <w:rFonts w:hint="eastAsia" w:asciiTheme="minorEastAsia" w:hAnsiTheme="minorEastAsia" w:eastAsiaTheme="minorEastAsia"/>
          <w:sz w:val="24"/>
        </w:rPr>
        <w:t>。</w:t>
      </w:r>
    </w:p>
    <w:p w14:paraId="351F963E">
      <w:pPr>
        <w:spacing w:line="360" w:lineRule="auto"/>
        <w:rPr>
          <w:rFonts w:cs="微软雅黑" w:asciiTheme="minorEastAsia" w:hAnsiTheme="minorEastAsia" w:eastAsiaTheme="minorEastAsia"/>
          <w:bCs/>
          <w:sz w:val="24"/>
        </w:rPr>
      </w:pPr>
      <w:r>
        <w:rPr>
          <w:rFonts w:hint="eastAsia" w:asciiTheme="minorEastAsia" w:hAnsiTheme="minorEastAsia" w:eastAsiaTheme="minorEastAsia"/>
          <w:sz w:val="24"/>
        </w:rPr>
        <w:t>5、测试分析软件：1套。</w:t>
      </w:r>
      <w:r>
        <w:rPr>
          <w:rFonts w:hint="eastAsia" w:asciiTheme="minorEastAsia" w:hAnsiTheme="minorEastAsia" w:eastAsiaTheme="minorEastAsia"/>
          <w:sz w:val="24"/>
        </w:rPr>
        <w:br w:type="textWrapping"/>
      </w:r>
      <w:bookmarkEnd w:id="0"/>
      <w:r>
        <w:rPr>
          <w:rFonts w:hint="eastAsia" w:asciiTheme="minorEastAsia" w:hAnsiTheme="minorEastAsia" w:eastAsiaTheme="minorEastAsia"/>
          <w:sz w:val="24"/>
        </w:rPr>
        <w:t>三、</w:t>
      </w:r>
      <w:r>
        <w:rPr>
          <w:rFonts w:hint="eastAsia" w:cs="微软雅黑" w:asciiTheme="minorEastAsia" w:hAnsiTheme="minorEastAsia" w:eastAsiaTheme="minorEastAsia"/>
          <w:bCs/>
          <w:sz w:val="24"/>
        </w:rPr>
        <w:t>技术资料</w:t>
      </w:r>
    </w:p>
    <w:p w14:paraId="54CAAB13">
      <w:pPr>
        <w:spacing w:line="360" w:lineRule="auto"/>
        <w:rPr>
          <w:rFonts w:asciiTheme="minorEastAsia" w:hAnsiTheme="minorEastAsia" w:eastAsiaTheme="minorEastAsia"/>
          <w:sz w:val="24"/>
        </w:rPr>
      </w:pPr>
      <w:r>
        <w:rPr>
          <w:rFonts w:hint="eastAsia" w:asciiTheme="minorEastAsia" w:hAnsiTheme="minorEastAsia" w:eastAsiaTheme="minorEastAsia"/>
          <w:sz w:val="24"/>
        </w:rPr>
        <w:t>1、提供仪器设备的中文安装、操作手册。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2、提供仪器设备的中文维修保养手册。</w:t>
      </w:r>
    </w:p>
    <w:p w14:paraId="2D093F08">
      <w:pPr>
        <w:spacing w:line="360" w:lineRule="auto"/>
        <w:rPr>
          <w:rFonts w:asciiTheme="minorEastAsia" w:hAnsiTheme="minorEastAsia" w:eastAsiaTheme="minorEastAsia"/>
          <w:sz w:val="24"/>
        </w:rPr>
      </w:pPr>
      <w:r>
        <w:rPr>
          <w:rFonts w:hint="eastAsia" w:asciiTheme="minorEastAsia" w:hAnsiTheme="minorEastAsia" w:eastAsiaTheme="minorEastAsia"/>
          <w:sz w:val="24"/>
        </w:rPr>
        <w:t>3、仪器设备符合中国国家标准或通用国际标准。</w:t>
      </w:r>
    </w:p>
    <w:p w14:paraId="4BC32660">
      <w:pPr>
        <w:spacing w:line="360" w:lineRule="auto"/>
        <w:outlineLvl w:val="0"/>
        <w:rPr>
          <w:rFonts w:asciiTheme="minorEastAsia" w:hAnsiTheme="minorEastAsia" w:eastAsiaTheme="minorEastAsia"/>
          <w:sz w:val="24"/>
        </w:rPr>
      </w:pPr>
      <w:r>
        <w:rPr>
          <w:rFonts w:hint="eastAsia" w:cs="微软雅黑" w:asciiTheme="minorEastAsia" w:hAnsiTheme="minorEastAsia" w:eastAsiaTheme="minorEastAsia"/>
          <w:sz w:val="24"/>
        </w:rPr>
        <w:t>四、售后服务</w:t>
      </w:r>
    </w:p>
    <w:p w14:paraId="2E9BAEE2">
      <w:pPr>
        <w:spacing w:line="360" w:lineRule="auto"/>
      </w:pPr>
      <w:r>
        <w:rPr>
          <w:rFonts w:hint="eastAsia" w:asciiTheme="minorEastAsia" w:hAnsiTheme="minorEastAsia" w:eastAsiaTheme="minorEastAsia"/>
          <w:sz w:val="24"/>
        </w:rPr>
        <w:t>1、安装、校准与试运行：对仪器设备的质量、规格、性能、数量进行详细和全面的检查，并出具检验证明，如有缺失，应负责赔偿。</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2、负责为用户培训使用仪器的工作人员。培训内容包括仪器设备的基本原理、安装、调试、操作使用和日常保养维修等。培训时间不少于一个工作日。</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3、质保期≥1年。质保期内，供货厂商在接到用户要求对所购仪器设备进行维修时，应在</w:t>
      </w:r>
      <w:r>
        <w:rPr>
          <w:rFonts w:asciiTheme="minorEastAsia" w:hAnsiTheme="minorEastAsia" w:eastAsiaTheme="minorEastAsia"/>
          <w:sz w:val="24"/>
        </w:rPr>
        <w:t>24</w:t>
      </w:r>
      <w:r>
        <w:rPr>
          <w:rFonts w:hint="eastAsia" w:asciiTheme="minorEastAsia" w:hAnsiTheme="minorEastAsia" w:eastAsiaTheme="minorEastAsia"/>
          <w:sz w:val="24"/>
        </w:rPr>
        <w:t>小时之内给予答复，并派出维修人员在三日内到达用户现场进行维修服务。</w:t>
      </w:r>
      <w:r>
        <w:rPr>
          <w:rFonts w:asciiTheme="minorEastAsia" w:hAnsiTheme="minorEastAsia" w:eastAsiaTheme="minorEastAsia"/>
          <w:sz w:val="24"/>
        </w:rPr>
        <w:br w:type="textWrapping"/>
      </w:r>
      <w:r>
        <w:rPr>
          <w:rFonts w:hint="eastAsia"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7642B0FD">
      <w:pPr>
        <w:rPr>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B4CB8">
    <w:pPr>
      <w:pStyle w:val="5"/>
      <w:jc w:val="both"/>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5104C"/>
    <w:rsid w:val="00082327"/>
    <w:rsid w:val="00092E19"/>
    <w:rsid w:val="00112ADF"/>
    <w:rsid w:val="001612D3"/>
    <w:rsid w:val="001620F1"/>
    <w:rsid w:val="00164EB1"/>
    <w:rsid w:val="00185F74"/>
    <w:rsid w:val="001A17ED"/>
    <w:rsid w:val="001A2B68"/>
    <w:rsid w:val="001A63E2"/>
    <w:rsid w:val="00223E4B"/>
    <w:rsid w:val="00235931"/>
    <w:rsid w:val="00250D7F"/>
    <w:rsid w:val="00260346"/>
    <w:rsid w:val="00262A79"/>
    <w:rsid w:val="00262D50"/>
    <w:rsid w:val="00281ED4"/>
    <w:rsid w:val="002D3CE9"/>
    <w:rsid w:val="002D706E"/>
    <w:rsid w:val="003864F0"/>
    <w:rsid w:val="00386D48"/>
    <w:rsid w:val="003B5D09"/>
    <w:rsid w:val="003B6306"/>
    <w:rsid w:val="004046DF"/>
    <w:rsid w:val="00441020"/>
    <w:rsid w:val="004829B3"/>
    <w:rsid w:val="0049750E"/>
    <w:rsid w:val="004D41BE"/>
    <w:rsid w:val="004D47EF"/>
    <w:rsid w:val="00502394"/>
    <w:rsid w:val="00505D15"/>
    <w:rsid w:val="00513B2F"/>
    <w:rsid w:val="00516304"/>
    <w:rsid w:val="0059265D"/>
    <w:rsid w:val="005B3A11"/>
    <w:rsid w:val="005C6246"/>
    <w:rsid w:val="006213F6"/>
    <w:rsid w:val="006C57B9"/>
    <w:rsid w:val="006F03EA"/>
    <w:rsid w:val="0070784E"/>
    <w:rsid w:val="00757ED1"/>
    <w:rsid w:val="0076446E"/>
    <w:rsid w:val="00766764"/>
    <w:rsid w:val="00785AFC"/>
    <w:rsid w:val="007955FA"/>
    <w:rsid w:val="007B5029"/>
    <w:rsid w:val="007F542C"/>
    <w:rsid w:val="00804F0D"/>
    <w:rsid w:val="008214B2"/>
    <w:rsid w:val="008522B4"/>
    <w:rsid w:val="00871DD8"/>
    <w:rsid w:val="0089220C"/>
    <w:rsid w:val="008C7A5C"/>
    <w:rsid w:val="0090141B"/>
    <w:rsid w:val="009014FA"/>
    <w:rsid w:val="00935BDF"/>
    <w:rsid w:val="00994ECA"/>
    <w:rsid w:val="00996726"/>
    <w:rsid w:val="009C10C5"/>
    <w:rsid w:val="009F663A"/>
    <w:rsid w:val="00A16BE6"/>
    <w:rsid w:val="00A31C9E"/>
    <w:rsid w:val="00A435D1"/>
    <w:rsid w:val="00AD7EC6"/>
    <w:rsid w:val="00B44867"/>
    <w:rsid w:val="00B85D9D"/>
    <w:rsid w:val="00BA06E9"/>
    <w:rsid w:val="00BA61DF"/>
    <w:rsid w:val="00BA66A0"/>
    <w:rsid w:val="00BD6036"/>
    <w:rsid w:val="00BE4CA7"/>
    <w:rsid w:val="00C4435E"/>
    <w:rsid w:val="00C82434"/>
    <w:rsid w:val="00CB1761"/>
    <w:rsid w:val="00CC3AD1"/>
    <w:rsid w:val="00CC762D"/>
    <w:rsid w:val="00CE3D39"/>
    <w:rsid w:val="00CE70AE"/>
    <w:rsid w:val="00D317DA"/>
    <w:rsid w:val="00D77C6D"/>
    <w:rsid w:val="00D911D3"/>
    <w:rsid w:val="00D945A7"/>
    <w:rsid w:val="00E0027D"/>
    <w:rsid w:val="00E21EAE"/>
    <w:rsid w:val="00E36A05"/>
    <w:rsid w:val="00E54DFA"/>
    <w:rsid w:val="00E80BE7"/>
    <w:rsid w:val="00E92360"/>
    <w:rsid w:val="00ED0EC4"/>
    <w:rsid w:val="00F04628"/>
    <w:rsid w:val="00F34B87"/>
    <w:rsid w:val="00F35AAE"/>
    <w:rsid w:val="00FD76E7"/>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C56806"/>
    <w:rsid w:val="1C453028"/>
    <w:rsid w:val="1DA51126"/>
    <w:rsid w:val="1E300829"/>
    <w:rsid w:val="1ED72F09"/>
    <w:rsid w:val="1EEE4660"/>
    <w:rsid w:val="1FA66E63"/>
    <w:rsid w:val="208507D9"/>
    <w:rsid w:val="20C352FD"/>
    <w:rsid w:val="22AD4249"/>
    <w:rsid w:val="25802206"/>
    <w:rsid w:val="27D94796"/>
    <w:rsid w:val="28D72247"/>
    <w:rsid w:val="297C439A"/>
    <w:rsid w:val="2BC702C3"/>
    <w:rsid w:val="2CFE0D96"/>
    <w:rsid w:val="31166443"/>
    <w:rsid w:val="33777A8D"/>
    <w:rsid w:val="344E4C1A"/>
    <w:rsid w:val="351229BE"/>
    <w:rsid w:val="36BF781E"/>
    <w:rsid w:val="37C82445"/>
    <w:rsid w:val="380D3C74"/>
    <w:rsid w:val="394D1228"/>
    <w:rsid w:val="39F806CC"/>
    <w:rsid w:val="3A860851"/>
    <w:rsid w:val="3CB4553B"/>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B5116B3"/>
    <w:rsid w:val="5C1131D4"/>
    <w:rsid w:val="603238B6"/>
    <w:rsid w:val="60C11C53"/>
    <w:rsid w:val="61E36E36"/>
    <w:rsid w:val="630B6898"/>
    <w:rsid w:val="63675CD5"/>
    <w:rsid w:val="6A856300"/>
    <w:rsid w:val="6F092DF8"/>
    <w:rsid w:val="72B33F95"/>
    <w:rsid w:val="742A02D8"/>
    <w:rsid w:val="747B6054"/>
    <w:rsid w:val="7499294C"/>
    <w:rsid w:val="771E1AA0"/>
    <w:rsid w:val="78632C67"/>
    <w:rsid w:val="79487FB4"/>
    <w:rsid w:val="79AD425C"/>
    <w:rsid w:val="79DF0A07"/>
    <w:rsid w:val="7CBD3670"/>
    <w:rsid w:val="8FFE078B"/>
    <w:rsid w:val="D7ADDAF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批注框文本 Char"/>
    <w:basedOn w:val="8"/>
    <w:link w:val="4"/>
    <w:semiHidden/>
    <w:qFormat/>
    <w:uiPriority w:val="99"/>
    <w:rPr>
      <w:rFonts w:ascii="Times New Roman" w:hAnsi="Times New Roman" w:eastAsia="宋体" w:cs="Times New Roman"/>
      <w:kern w:val="2"/>
      <w:sz w:val="18"/>
      <w:szCs w:val="18"/>
    </w:rPr>
  </w:style>
  <w:style w:type="character" w:customStyle="1" w:styleId="12">
    <w:name w:val="日期 Char"/>
    <w:basedOn w:val="8"/>
    <w:link w:val="3"/>
    <w:semiHidden/>
    <w:qFormat/>
    <w:uiPriority w:val="99"/>
    <w:rPr>
      <w:kern w:val="2"/>
      <w:sz w:val="21"/>
      <w:szCs w:val="24"/>
    </w:rPr>
  </w:style>
  <w:style w:type="character" w:customStyle="1" w:styleId="13">
    <w:name w:val="文档结构图 Char"/>
    <w:basedOn w:val="8"/>
    <w:link w:val="2"/>
    <w:semiHidden/>
    <w:qFormat/>
    <w:uiPriority w:val="99"/>
    <w:rPr>
      <w:rFonts w:ascii="宋体"/>
      <w:kern w:val="2"/>
      <w:sz w:val="18"/>
      <w:szCs w:val="18"/>
    </w:rPr>
  </w:style>
  <w:style w:type="paragraph" w:customStyle="1" w:styleId="14">
    <w:name w:val="修订1"/>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5E44748C-8D06-44E8-870A-B0F62DFD13F7}">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157</Words>
  <Characters>895</Characters>
  <Lines>7</Lines>
  <Paragraphs>2</Paragraphs>
  <TotalTime>219</TotalTime>
  <ScaleCrop>false</ScaleCrop>
  <LinksUpToDate>false</LinksUpToDate>
  <CharactersWithSpaces>1050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2017-08-31T06:01:00Z</dcterms:created>
  <dc:creator>hanqd</dc:creator>
  <cp:lastModifiedBy>洪婧</cp:lastModifiedBy>
  <cp:lastPrinted>2026-05-12T21:35:00Z</cp:lastPrinted>
  <dcterms:modified xsi:type="dcterms:W3CDTF">2026-06-25T11:18:13Z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3B4756FE96F9CB9BF59D3C6A1F06399E_43</vt:lpwstr>
  </property>
</Properties>
</file>